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D45B" w14:textId="705F8BED" w:rsidR="000D0EFF" w:rsidRPr="000D0EFF" w:rsidRDefault="000D0EFF" w:rsidP="000024CF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</w:t>
      </w:r>
      <w:r w:rsidRPr="000D0EFF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luczowe efekty prac Wojewódzkiego Zespołu Koordynacji (WZK) w województwie podkarpackim</w:t>
      </w:r>
    </w:p>
    <w:p w14:paraId="2AFC7D01" w14:textId="308AAB8A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33544FF4" w14:textId="7777777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>1. Zakres i cel działań WZK</w:t>
      </w:r>
    </w:p>
    <w:p w14:paraId="448C0D25" w14:textId="7777777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Wojewódzki Zespół Koordynacji realizuje kompleksowy program badań i analiz obejmujących 8 kluczowych obszarów: edukację i politykę oświatową, dydaktykę, zdrowie uczniów, cyfryzację i AI, rynek pracy, prawo i polityki publiczne, uczenie się przez całe życie (LLL) oraz bezpieczeństwo społeczne.</w:t>
      </w:r>
    </w:p>
    <w:p w14:paraId="4BE1258C" w14:textId="7777777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Celem działań jest zbudowanie spójnego systemu zarządzania edukacją i rozwojem kompetencji w regionie, odpowiadającego na wyzwania transformacji gospodarczych, technologicznych i społecznych.</w:t>
      </w:r>
    </w:p>
    <w:p w14:paraId="176A5549" w14:textId="52E39F6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65569ACC" w14:textId="7777777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>2. Realizacja badań – stan zaawansowania</w:t>
      </w:r>
    </w:p>
    <w:p w14:paraId="467D76AD" w14:textId="7777777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W ramach projektu realizowany jest szeroki pakiet badań obejmujących cały system edukacji oraz jego powiązania z rynkiem pracy:</w:t>
      </w:r>
    </w:p>
    <w:p w14:paraId="563E9A45" w14:textId="77777777" w:rsidR="000D0EFF" w:rsidRPr="000D0EFF" w:rsidRDefault="000D0EFF" w:rsidP="000D0EFF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>19 badań</w:t>
      </w:r>
      <w:r w:rsidRPr="000D0EFF">
        <w:rPr>
          <w:rFonts w:asciiTheme="majorHAnsi" w:eastAsia="Times New Roman" w:hAnsiTheme="majorHAnsi" w:cstheme="majorHAnsi"/>
          <w:lang w:eastAsia="pl-PL"/>
        </w:rPr>
        <w:t xml:space="preserve"> realizowanych przez Politechnikę Rzeszowską i Uniwersytet Rzeszowski,</w:t>
      </w:r>
    </w:p>
    <w:p w14:paraId="3AB13796" w14:textId="77777777" w:rsidR="000D0EFF" w:rsidRPr="000D0EFF" w:rsidRDefault="000D0EFF" w:rsidP="000D0EFF">
      <w:pPr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>2 badania (COMORELP)</w:t>
      </w:r>
      <w:r w:rsidRPr="000D0EFF">
        <w:rPr>
          <w:rFonts w:asciiTheme="majorHAnsi" w:eastAsia="Times New Roman" w:hAnsiTheme="majorHAnsi" w:cstheme="majorHAnsi"/>
          <w:lang w:eastAsia="pl-PL"/>
        </w:rPr>
        <w:t xml:space="preserve"> realizowane przez Wojewódzki Urząd Pracy w Rzeszowie,</w:t>
      </w:r>
    </w:p>
    <w:p w14:paraId="472B5039" w14:textId="77777777" w:rsidR="000D0EFF" w:rsidRPr="00B63056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28B066DB" w14:textId="029352D7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Wszystkie badania są w trakcie realizacji</w:t>
      </w:r>
      <w:r w:rsidR="00200D61" w:rsidRPr="00B63056">
        <w:rPr>
          <w:rFonts w:asciiTheme="majorHAnsi" w:eastAsia="Times New Roman" w:hAnsiTheme="majorHAnsi" w:cstheme="majorHAnsi"/>
          <w:lang w:eastAsia="pl-PL"/>
        </w:rPr>
        <w:t>, a ich z</w:t>
      </w:r>
      <w:r w:rsidRPr="000D0EFF">
        <w:rPr>
          <w:rFonts w:asciiTheme="majorHAnsi" w:eastAsia="Times New Roman" w:hAnsiTheme="majorHAnsi" w:cstheme="majorHAnsi"/>
          <w:lang w:eastAsia="pl-PL"/>
        </w:rPr>
        <w:t>akres badań obejmuje m.in.:</w:t>
      </w:r>
    </w:p>
    <w:p w14:paraId="0F782A02" w14:textId="3E4D477E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jakość i dostępność edukacji (w tym wychowanie przedszkolne i szkoły podstawowe),</w:t>
      </w:r>
    </w:p>
    <w:p w14:paraId="0FF03697" w14:textId="416342CC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kompetencje kluczowe uczniów (językowe, czytelnicze, matematyczne, cyfrowe),</w:t>
      </w:r>
    </w:p>
    <w:p w14:paraId="0D6B0A9D" w14:textId="20C3884C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edukację włączającą i cyfrową,</w:t>
      </w:r>
    </w:p>
    <w:p w14:paraId="5E82CEA6" w14:textId="6A6A2997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zdrowie i dobrostan uczniów,</w:t>
      </w:r>
    </w:p>
    <w:p w14:paraId="5B3E9730" w14:textId="62DB75AD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sztuczną inteligencję i nowe technologie w edukacji i pracy,</w:t>
      </w:r>
    </w:p>
    <w:p w14:paraId="0B3AE0F6" w14:textId="28B2C94B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dopasowanie systemu edukacji do potrzeb gospodarki (zielonej i cyfrowej),</w:t>
      </w:r>
    </w:p>
    <w:p w14:paraId="6CD4ECA5" w14:textId="3F54159C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rozwój kadr inżynierskich i szkolnictwa zawodowego,</w:t>
      </w:r>
    </w:p>
    <w:p w14:paraId="3F876762" w14:textId="08427BDA" w:rsidR="00F707F8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uczenie się przez całe życie i systemy jego monitorowania,</w:t>
      </w:r>
    </w:p>
    <w:p w14:paraId="1B26D264" w14:textId="16B6D74D" w:rsidR="00200D61" w:rsidRPr="00B63056" w:rsidRDefault="00F707F8" w:rsidP="00200D61">
      <w:pPr>
        <w:pStyle w:val="Akapitzlist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aspekty prawne i zarządcze systemu edukacji.</w:t>
      </w:r>
    </w:p>
    <w:p w14:paraId="6BD519E3" w14:textId="78EF9B54" w:rsidR="000D0EFF" w:rsidRPr="00B63056" w:rsidRDefault="000D0EFF" w:rsidP="00F707F8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="Segoe UI Emoji" w:eastAsia="Times New Roman" w:hAnsi="Segoe UI Emoji" w:cs="Segoe UI Emoji"/>
          <w:lang w:eastAsia="pl-PL"/>
        </w:rPr>
        <w:t>📎</w:t>
      </w:r>
      <w:r w:rsidRPr="000D0EFF">
        <w:rPr>
          <w:rFonts w:asciiTheme="majorHAnsi" w:eastAsia="Times New Roman" w:hAnsiTheme="majorHAnsi" w:cstheme="majorHAnsi"/>
          <w:lang w:eastAsia="pl-PL"/>
        </w:rPr>
        <w:t xml:space="preserve"> Szczegółowy wykaz tematów badań stanowi załącznik</w:t>
      </w:r>
      <w:r w:rsidR="000024CF" w:rsidRPr="00B63056">
        <w:rPr>
          <w:rFonts w:asciiTheme="majorHAnsi" w:eastAsia="Times New Roman" w:hAnsiTheme="majorHAnsi" w:cstheme="majorHAnsi"/>
          <w:lang w:eastAsia="pl-PL"/>
        </w:rPr>
        <w:t xml:space="preserve"> nr 1 </w:t>
      </w:r>
    </w:p>
    <w:p w14:paraId="267C9D18" w14:textId="15A36C6D" w:rsidR="0066426F" w:rsidRPr="00B63056" w:rsidRDefault="0066426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7C8A953C" w14:textId="77777777" w:rsidR="0066426F" w:rsidRPr="000D0EFF" w:rsidRDefault="0066426F" w:rsidP="0066426F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>System uczenia się przez całe życie (LLL) – COMORELP</w:t>
      </w:r>
    </w:p>
    <w:p w14:paraId="6B8C146F" w14:textId="77777777" w:rsidR="0066426F" w:rsidRPr="000D0EFF" w:rsidRDefault="0066426F" w:rsidP="0066426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Badania realizowane przez WUP w Rzeszowie (COMORELP) stanowią element budowy systemu monitorowania polityki LLL:</w:t>
      </w:r>
    </w:p>
    <w:p w14:paraId="77F8C70E" w14:textId="77777777" w:rsidR="0066426F" w:rsidRPr="000D0EFF" w:rsidRDefault="0066426F" w:rsidP="0066426F">
      <w:pPr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przeprowadzono pierwszy cykl badania (2024),</w:t>
      </w:r>
    </w:p>
    <w:p w14:paraId="1DF9511C" w14:textId="77777777" w:rsidR="0066426F" w:rsidRPr="000D0EFF" w:rsidRDefault="0066426F" w:rsidP="0066426F">
      <w:pPr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planowane jest jego powtórzenie na zakończenie projektu,</w:t>
      </w:r>
    </w:p>
    <w:p w14:paraId="00A95DBE" w14:textId="77777777" w:rsidR="0066426F" w:rsidRPr="00B63056" w:rsidRDefault="0066426F" w:rsidP="0066426F">
      <w:pPr>
        <w:numPr>
          <w:ilvl w:val="0"/>
          <w:numId w:val="38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umożliwi to ocenę zmian i efektywności działań wdrażanych w regionie.</w:t>
      </w:r>
    </w:p>
    <w:p w14:paraId="694F19F7" w14:textId="01671D32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21947A92" w14:textId="3DE848EF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b/>
          <w:bCs/>
          <w:lang w:eastAsia="pl-PL"/>
        </w:rPr>
        <w:t xml:space="preserve">3. Rekomendacje WZK – </w:t>
      </w:r>
      <w:r w:rsidRPr="000D0EFF">
        <w:rPr>
          <w:rFonts w:asciiTheme="majorHAnsi" w:eastAsia="Times New Roman" w:hAnsiTheme="majorHAnsi" w:cstheme="majorHAnsi"/>
          <w:lang w:eastAsia="pl-PL"/>
        </w:rPr>
        <w:t>Kluczowym efektem prac WZK jest opracowanie rekomendacji o charakterze systemowym i wdrożeniowym</w:t>
      </w:r>
      <w:r w:rsidRPr="00B63056">
        <w:rPr>
          <w:rFonts w:asciiTheme="majorHAnsi" w:eastAsia="Times New Roman" w:hAnsiTheme="majorHAnsi" w:cstheme="majorHAnsi"/>
          <w:lang w:eastAsia="pl-PL"/>
        </w:rPr>
        <w:t xml:space="preserve"> które: </w:t>
      </w:r>
    </w:p>
    <w:p w14:paraId="1DEBBDFC" w14:textId="77777777" w:rsidR="000D0EFF" w:rsidRPr="000D0EFF" w:rsidRDefault="000D0EFF" w:rsidP="000D0EFF">
      <w:pPr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stanowią gotowe propozycje działań dla władz regionalnych,</w:t>
      </w:r>
    </w:p>
    <w:p w14:paraId="77E42F4E" w14:textId="77777777" w:rsidR="000D0EFF" w:rsidRPr="000D0EFF" w:rsidRDefault="000D0EFF" w:rsidP="000D0EFF">
      <w:pPr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mają formę kompleksowych programów lub modeli rozwiązań,</w:t>
      </w:r>
    </w:p>
    <w:p w14:paraId="07F7BD79" w14:textId="77777777" w:rsidR="000D0EFF" w:rsidRPr="000D0EFF" w:rsidRDefault="000D0EFF" w:rsidP="000D0EFF">
      <w:pPr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wskazują jak wdrożyć konkretne zmiany w systemie edukacji i rynku pracy,</w:t>
      </w:r>
    </w:p>
    <w:p w14:paraId="462C816E" w14:textId="77777777" w:rsidR="000D0EFF" w:rsidRPr="000D0EFF" w:rsidRDefault="000D0EFF" w:rsidP="000D0EFF">
      <w:pPr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Theme="majorHAnsi" w:eastAsia="Times New Roman" w:hAnsiTheme="majorHAnsi" w:cstheme="majorHAnsi"/>
          <w:lang w:eastAsia="pl-PL"/>
        </w:rPr>
        <w:t>obejmują m.in. cele, uzasadnienie, sposób realizacji, potencjalne źródła finansowania, instytucje odpowiedzialne oraz wskaźniki efektów.</w:t>
      </w:r>
    </w:p>
    <w:p w14:paraId="3C8D69EA" w14:textId="77777777" w:rsidR="000D0EFF" w:rsidRPr="00B63056" w:rsidRDefault="000D0EFF" w:rsidP="0066426F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B63056">
        <w:rPr>
          <w:rFonts w:asciiTheme="majorHAnsi" w:hAnsiTheme="majorHAnsi" w:cstheme="majorHAnsi"/>
          <w:sz w:val="22"/>
          <w:szCs w:val="22"/>
        </w:rPr>
        <w:t>Rekomendacje wypracowywane w ramach Wojewódzkiego Zespołu Koordynacji są rezultatem szerokiego, partnerskiego procesu, w który zaangażowani są kluczowi uczestnicy regionalnego systemu edukacji i rynku pracy – przedstawiciele samorządów, środowiska akademickiego, szkół, pracodawców oraz instytucji rynku pracy.</w:t>
      </w:r>
    </w:p>
    <w:p w14:paraId="3C8135ED" w14:textId="7A6EB56B" w:rsidR="000D0EFF" w:rsidRPr="000D0EFF" w:rsidRDefault="000D0EFF" w:rsidP="000024CF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B63056">
        <w:rPr>
          <w:rFonts w:asciiTheme="majorHAnsi" w:hAnsiTheme="majorHAnsi" w:cstheme="majorHAnsi"/>
          <w:sz w:val="22"/>
          <w:szCs w:val="22"/>
        </w:rPr>
        <w:t xml:space="preserve">Ich kształt opiera się na wynikach prowadzonych badań, uzupełnionych analizą dokumentów strategicznych oraz doświadczeń i dobrych praktyk. Takie podejście pozwala nie tylko trafnie </w:t>
      </w:r>
      <w:r w:rsidRPr="00B63056">
        <w:rPr>
          <w:rFonts w:asciiTheme="majorHAnsi" w:hAnsiTheme="majorHAnsi" w:cstheme="majorHAnsi"/>
          <w:sz w:val="22"/>
          <w:szCs w:val="22"/>
        </w:rPr>
        <w:lastRenderedPageBreak/>
        <w:t>diagnozować wyzwania, ale również formułować rozwiązania adekwatne do realnych potrzeb regionu.</w:t>
      </w:r>
      <w:r w:rsidR="0066426F" w:rsidRPr="00B63056">
        <w:rPr>
          <w:rFonts w:asciiTheme="majorHAnsi" w:hAnsiTheme="majorHAnsi" w:cstheme="majorHAnsi"/>
          <w:sz w:val="22"/>
          <w:szCs w:val="22"/>
        </w:rPr>
        <w:t xml:space="preserve"> </w:t>
      </w:r>
      <w:r w:rsidRPr="00B63056">
        <w:rPr>
          <w:rFonts w:asciiTheme="majorHAnsi" w:hAnsiTheme="majorHAnsi" w:cstheme="majorHAnsi"/>
          <w:sz w:val="22"/>
          <w:szCs w:val="22"/>
        </w:rPr>
        <w:t xml:space="preserve">Każda rekomendacja ma charakter uporządkowanego i </w:t>
      </w:r>
      <w:proofErr w:type="spellStart"/>
      <w:r w:rsidRPr="00B63056">
        <w:rPr>
          <w:rFonts w:asciiTheme="majorHAnsi" w:hAnsiTheme="majorHAnsi" w:cstheme="majorHAnsi"/>
          <w:sz w:val="22"/>
          <w:szCs w:val="22"/>
        </w:rPr>
        <w:t>wdrażalnego</w:t>
      </w:r>
      <w:proofErr w:type="spellEnd"/>
      <w:r w:rsidRPr="00B63056">
        <w:rPr>
          <w:rFonts w:asciiTheme="majorHAnsi" w:hAnsiTheme="majorHAnsi" w:cstheme="majorHAnsi"/>
          <w:sz w:val="22"/>
          <w:szCs w:val="22"/>
        </w:rPr>
        <w:t xml:space="preserve"> rozwiązania – zawiera opis proponowanego działania wraz z jego uzasadnieniem, wskazuje możliwy sposób realizacji, identyfikuje podmioty odpowiedzialne, potencjalne źródła finansowania oraz określa wskaźniki, które umożliwiają ocenę skuteczności podejmowanych działań.</w:t>
      </w:r>
    </w:p>
    <w:p w14:paraId="43FEAAB3" w14:textId="089D32AF" w:rsidR="000D0EFF" w:rsidRPr="000D0EFF" w:rsidRDefault="0066426F" w:rsidP="000D0EFF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lang w:eastAsia="pl-PL"/>
        </w:rPr>
        <w:t>4</w:t>
      </w:r>
      <w:r w:rsidR="000D0EFF" w:rsidRPr="000D0EFF">
        <w:rPr>
          <w:rFonts w:asciiTheme="majorHAnsi" w:eastAsia="Times New Roman" w:hAnsiTheme="majorHAnsi" w:cstheme="majorHAnsi"/>
          <w:b/>
          <w:bCs/>
          <w:lang w:eastAsia="pl-PL"/>
        </w:rPr>
        <w:t>. Kluczowe rekomendacje WZK</w:t>
      </w:r>
      <w:r w:rsidRPr="00B63056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3954"/>
        <w:gridCol w:w="1343"/>
      </w:tblGrid>
      <w:tr w:rsidR="000024CF" w:rsidRPr="00B63056" w14:paraId="7BCAB590" w14:textId="77777777" w:rsidTr="000D0EF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E77A8F" w14:textId="77777777" w:rsidR="000D0EFF" w:rsidRPr="000D0EFF" w:rsidRDefault="000D0EFF" w:rsidP="000D0E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Tytuł rekomendacji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557826" w14:textId="77777777" w:rsidR="000D0EFF" w:rsidRPr="000D0EFF" w:rsidRDefault="000D0EFF" w:rsidP="000D0E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Zakres / cel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EF061F" w14:textId="77777777" w:rsidR="000D0EFF" w:rsidRPr="000D0EFF" w:rsidRDefault="000D0EFF" w:rsidP="000D0EF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Etap realizacji</w:t>
            </w:r>
          </w:p>
        </w:tc>
      </w:tr>
      <w:tr w:rsidR="000D0EFF" w:rsidRPr="000D0EFF" w14:paraId="37F691AA" w14:textId="77777777" w:rsidTr="000D0EF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AA46181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KORPUS NKZ – systemowe wsparcie nauczycieli kształcenia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F3D6601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Rozwój kadr poprzez staże w firmach, mentoring i wsparcie wejścia do zawodu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F33E3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Przyjęta</w:t>
            </w:r>
          </w:p>
        </w:tc>
      </w:tr>
      <w:tr w:rsidR="000D0EFF" w:rsidRPr="000D0EFF" w14:paraId="6B3DC006" w14:textId="77777777" w:rsidTr="000D0EF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3EE687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Systemowy model współpracy szkół zawodowych z przemysłem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1E6C42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Standaryzacja staży i trwała współpraca edukacji z gospodarką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080E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Przyjęta</w:t>
            </w:r>
          </w:p>
        </w:tc>
      </w:tr>
      <w:tr w:rsidR="000D0EFF" w:rsidRPr="000D0EFF" w14:paraId="3FC1C99C" w14:textId="77777777" w:rsidTr="000D0EF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AFC9633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Edukacja w zakresie AI i </w:t>
            </w:r>
            <w:proofErr w:type="spellStart"/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cyberbezpieczeństwa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1AEB49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Budowa kompetencji cyfrowych i bezpiecznego korzystania z technologii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114F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Przyjęta</w:t>
            </w:r>
          </w:p>
        </w:tc>
      </w:tr>
      <w:tr w:rsidR="000D0EFF" w:rsidRPr="000D0EFF" w14:paraId="30DCEA5C" w14:textId="77777777" w:rsidTr="000D0EF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8602B36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Regionalny system edukacji matematycznej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C66594E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Poprawa jakości nauczania poprzez podejście oparte na rozumieniu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095C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Przyjęta</w:t>
            </w:r>
          </w:p>
        </w:tc>
      </w:tr>
      <w:tr w:rsidR="000D0EFF" w:rsidRPr="000D0EFF" w14:paraId="119870BB" w14:textId="77777777" w:rsidTr="000D0EF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617A064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Gotowość cywilna mieszkańców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70F56A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Wzmocnienie odporności społecznej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E296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D0EFF" w:rsidRPr="000D0EFF" w14:paraId="136580E7" w14:textId="77777777" w:rsidTr="000D0EF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2029806A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Technologie dual-</w:t>
            </w:r>
            <w:proofErr w:type="spellStart"/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use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73302B1C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 xml:space="preserve">Rozwój kompetencji w obszarze AI, robotyki i </w:t>
            </w:r>
            <w:proofErr w:type="spellStart"/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cyberbezpieczeństwa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2D1C0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D0EFF" w:rsidRPr="000D0EFF" w14:paraId="4E299969" w14:textId="77777777" w:rsidTr="000D0EF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80EE2B4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proofErr w:type="spellStart"/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Neurodydaktyka</w:t>
            </w:r>
            <w:proofErr w:type="spellEnd"/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w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E1BE37E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 xml:space="preserve">Włączenie osiągnięć </w:t>
            </w:r>
            <w:proofErr w:type="spellStart"/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neuronauk</w:t>
            </w:r>
            <w:proofErr w:type="spellEnd"/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 xml:space="preserve"> do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312EA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D0EFF" w:rsidRPr="000D0EFF" w14:paraId="23B6DF35" w14:textId="77777777" w:rsidTr="000D0EF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EF3B78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Wsparcie przejścia między etapami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0C93AC4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Program adaptacyjny dla uczniów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58AD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D0EFF" w:rsidRPr="000D0EFF" w14:paraId="3D383ACF" w14:textId="77777777" w:rsidTr="000D0EFF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99DBF8F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Nowoczesne doradztwo zawodowe (AI, VR)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CA997A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Budowa regionalnego modelu doradztwa zawodowego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D6EE" w14:textId="77777777" w:rsidR="000D0EFF" w:rsidRPr="000D0EFF" w:rsidRDefault="000D0EFF" w:rsidP="000D0EFF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0D0EFF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</w:tbl>
    <w:p w14:paraId="73C30396" w14:textId="13107BEC" w:rsidR="000024CF" w:rsidRPr="00B63056" w:rsidRDefault="000024CF" w:rsidP="000024C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0D0EFF">
        <w:rPr>
          <w:rFonts w:ascii="Segoe UI Emoji" w:eastAsia="Times New Roman" w:hAnsi="Segoe UI Emoji" w:cs="Segoe UI Emoji"/>
          <w:lang w:eastAsia="pl-PL"/>
        </w:rPr>
        <w:t>📎</w:t>
      </w:r>
      <w:r w:rsidRPr="000D0EFF">
        <w:rPr>
          <w:rFonts w:asciiTheme="majorHAnsi" w:eastAsia="Times New Roman" w:hAnsiTheme="majorHAnsi" w:cstheme="majorHAnsi"/>
          <w:lang w:eastAsia="pl-PL"/>
        </w:rPr>
        <w:t xml:space="preserve"> Szczegółowy wykaz tematów </w:t>
      </w:r>
      <w:r w:rsidRPr="00B63056">
        <w:rPr>
          <w:rFonts w:asciiTheme="majorHAnsi" w:eastAsia="Times New Roman" w:hAnsiTheme="majorHAnsi" w:cstheme="majorHAnsi"/>
          <w:lang w:eastAsia="pl-PL"/>
        </w:rPr>
        <w:t xml:space="preserve">rekomendacji </w:t>
      </w:r>
      <w:r w:rsidRPr="000D0EFF">
        <w:rPr>
          <w:rFonts w:asciiTheme="majorHAnsi" w:eastAsia="Times New Roman" w:hAnsiTheme="majorHAnsi" w:cstheme="majorHAnsi"/>
          <w:lang w:eastAsia="pl-PL"/>
        </w:rPr>
        <w:t>stanowi załącznik</w:t>
      </w:r>
      <w:r w:rsidRPr="00B63056">
        <w:rPr>
          <w:rFonts w:asciiTheme="majorHAnsi" w:eastAsia="Times New Roman" w:hAnsiTheme="majorHAnsi" w:cstheme="majorHAnsi"/>
          <w:lang w:eastAsia="pl-PL"/>
        </w:rPr>
        <w:t xml:space="preserve"> nr 2 </w:t>
      </w:r>
    </w:p>
    <w:p w14:paraId="71F1993F" w14:textId="77777777" w:rsidR="000024CF" w:rsidRPr="00B63056" w:rsidRDefault="000024CF" w:rsidP="0066426F">
      <w:pPr>
        <w:spacing w:after="0" w:line="240" w:lineRule="auto"/>
        <w:rPr>
          <w:rFonts w:asciiTheme="majorHAnsi" w:hAnsiTheme="majorHAnsi" w:cstheme="majorHAnsi"/>
        </w:rPr>
      </w:pPr>
    </w:p>
    <w:p w14:paraId="0B5D8A5C" w14:textId="69E42F25" w:rsidR="000D0EFF" w:rsidRPr="00B63056" w:rsidRDefault="000024CF" w:rsidP="0066426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hAnsiTheme="majorHAnsi" w:cstheme="majorHAnsi"/>
        </w:rPr>
        <w:t>Obecnie przedstawione rekomendacje stanowią pierwszą część wypracowanych rozwiązań – w miarę trwania projektu, organizowanych konferencji, spotkań oraz pracy zespołów eksperckich, będą mogły powstawać kolejne rekomendacje, odpowiadające na bieżące potrzeby i wyzwania w regionie.</w:t>
      </w:r>
    </w:p>
    <w:p w14:paraId="53AA3E4D" w14:textId="0BBBA71B" w:rsidR="000D0EFF" w:rsidRPr="000D0EFF" w:rsidRDefault="000D0EFF" w:rsidP="000D0EFF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0D4DE83C" w14:textId="16C571A9" w:rsidR="00621351" w:rsidRPr="00621351" w:rsidRDefault="0066426F" w:rsidP="0066426F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lang w:eastAsia="pl-PL"/>
        </w:rPr>
        <w:t xml:space="preserve">4. </w:t>
      </w:r>
      <w:r w:rsidR="00621351" w:rsidRPr="00621351">
        <w:rPr>
          <w:rFonts w:asciiTheme="majorHAnsi" w:eastAsia="Times New Roman" w:hAnsiTheme="majorHAnsi" w:cstheme="majorHAnsi"/>
          <w:b/>
          <w:bCs/>
          <w:lang w:eastAsia="pl-PL"/>
        </w:rPr>
        <w:t>Efekty prac WZK mają bezpośrednie zastosowanie w politykach publicznych:</w:t>
      </w:r>
    </w:p>
    <w:p w14:paraId="00D3111B" w14:textId="77777777" w:rsidR="00621351" w:rsidRPr="00621351" w:rsidRDefault="00621351" w:rsidP="006213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wsparcie dla przygotowania nowej perspektywy finansowej 2028–2034,</w:t>
      </w:r>
    </w:p>
    <w:p w14:paraId="3C43DAFA" w14:textId="77777777" w:rsidR="00621351" w:rsidRPr="00621351" w:rsidRDefault="00621351" w:rsidP="006213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wkład w aktualizację strategii rozwoju województwa oraz strategii innowacji,</w:t>
      </w:r>
    </w:p>
    <w:p w14:paraId="12347C12" w14:textId="77777777" w:rsidR="00621351" w:rsidRPr="00621351" w:rsidRDefault="00621351" w:rsidP="00B63056">
      <w:pPr>
        <w:numPr>
          <w:ilvl w:val="0"/>
          <w:numId w:val="32"/>
        </w:numPr>
        <w:spacing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podstawa do modernizacji systemu edukacji i doradztwa zawodowego,</w:t>
      </w:r>
    </w:p>
    <w:p w14:paraId="028875EA" w14:textId="77777777" w:rsidR="00621351" w:rsidRPr="00621351" w:rsidRDefault="00621351" w:rsidP="00B63056">
      <w:pPr>
        <w:numPr>
          <w:ilvl w:val="0"/>
          <w:numId w:val="32"/>
        </w:numPr>
        <w:spacing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rozwój regionalnych standardów współpracy edukacji z gospodarką.</w:t>
      </w:r>
    </w:p>
    <w:p w14:paraId="50B6F739" w14:textId="77777777" w:rsidR="00621351" w:rsidRPr="00621351" w:rsidRDefault="00621351" w:rsidP="00B63056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Najważniejszym efektem projektu jest stworzenie zintegrowanego, opartego na danych systemu koordynacji polityki edukacyjnej i rozwoju kompetencji w regionie, który:</w:t>
      </w:r>
    </w:p>
    <w:p w14:paraId="16373773" w14:textId="77777777" w:rsidR="00621351" w:rsidRPr="00621351" w:rsidRDefault="00621351" w:rsidP="00B63056">
      <w:pPr>
        <w:numPr>
          <w:ilvl w:val="0"/>
          <w:numId w:val="33"/>
        </w:numPr>
        <w:spacing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łączy edukację, rynek pracy i gospodarkę,</w:t>
      </w:r>
    </w:p>
    <w:p w14:paraId="5F570646" w14:textId="77777777" w:rsidR="00621351" w:rsidRPr="00621351" w:rsidRDefault="00621351" w:rsidP="006213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odpowiada na wyzwania transformacji technologicznej,</w:t>
      </w:r>
    </w:p>
    <w:p w14:paraId="2898A0EB" w14:textId="77777777" w:rsidR="00621351" w:rsidRPr="00621351" w:rsidRDefault="00621351" w:rsidP="006213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wspiera rozwój kapitału ludzkiego i zatrzymywanie talentów,</w:t>
      </w:r>
    </w:p>
    <w:p w14:paraId="3340A136" w14:textId="77777777" w:rsidR="000024CF" w:rsidRPr="00B63056" w:rsidRDefault="00621351" w:rsidP="006213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>wzmacnia odporność społeczną i konkurencyjność regionu.</w:t>
      </w:r>
    </w:p>
    <w:p w14:paraId="1E2458C6" w14:textId="564C1801" w:rsidR="00621351" w:rsidRPr="00621351" w:rsidRDefault="00621351" w:rsidP="000024C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621351">
        <w:rPr>
          <w:rFonts w:asciiTheme="majorHAnsi" w:eastAsia="Times New Roman" w:hAnsiTheme="majorHAnsi" w:cstheme="majorHAnsi"/>
          <w:lang w:eastAsia="pl-PL"/>
        </w:rPr>
        <w:t xml:space="preserve">Projekt WZK dostarczy nie tylko diagnozy, ale przede wszystkim </w:t>
      </w:r>
      <w:r w:rsidRPr="00621351">
        <w:rPr>
          <w:rFonts w:asciiTheme="majorHAnsi" w:eastAsia="Times New Roman" w:hAnsiTheme="majorHAnsi" w:cstheme="majorHAnsi"/>
          <w:b/>
          <w:bCs/>
          <w:lang w:eastAsia="pl-PL"/>
        </w:rPr>
        <w:t xml:space="preserve">gotowych, </w:t>
      </w:r>
      <w:proofErr w:type="spellStart"/>
      <w:r w:rsidRPr="00621351">
        <w:rPr>
          <w:rFonts w:asciiTheme="majorHAnsi" w:eastAsia="Times New Roman" w:hAnsiTheme="majorHAnsi" w:cstheme="majorHAnsi"/>
          <w:b/>
          <w:bCs/>
          <w:lang w:eastAsia="pl-PL"/>
        </w:rPr>
        <w:t>wdrażalnych</w:t>
      </w:r>
      <w:proofErr w:type="spellEnd"/>
      <w:r w:rsidRPr="00621351">
        <w:rPr>
          <w:rFonts w:asciiTheme="majorHAnsi" w:eastAsia="Times New Roman" w:hAnsiTheme="majorHAnsi" w:cstheme="majorHAnsi"/>
          <w:b/>
          <w:bCs/>
          <w:lang w:eastAsia="pl-PL"/>
        </w:rPr>
        <w:t xml:space="preserve"> rozwiązań systemowych</w:t>
      </w:r>
      <w:r w:rsidRPr="00621351">
        <w:rPr>
          <w:rFonts w:asciiTheme="majorHAnsi" w:eastAsia="Times New Roman" w:hAnsiTheme="majorHAnsi" w:cstheme="majorHAnsi"/>
          <w:lang w:eastAsia="pl-PL"/>
        </w:rPr>
        <w:t>, które mogą stanowić model dla innych regionów w zakresie zarządzania edukacją i polityką uczenia się przez całe życie.</w:t>
      </w:r>
    </w:p>
    <w:p w14:paraId="77E8A36D" w14:textId="77777777" w:rsidR="000024CF" w:rsidRPr="00B63056" w:rsidRDefault="000024CF" w:rsidP="0066426F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</w:p>
    <w:p w14:paraId="3D71E88C" w14:textId="5A1BCF32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 xml:space="preserve">Załącznik 1. </w:t>
      </w:r>
    </w:p>
    <w:p w14:paraId="2C444001" w14:textId="77777777" w:rsidR="000024CF" w:rsidRPr="00B63056" w:rsidRDefault="000024CF" w:rsidP="0066426F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</w:p>
    <w:p w14:paraId="3EC48573" w14:textId="0B6AB2F8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</w:rPr>
        <w:t>Badanie 1.</w:t>
      </w:r>
      <w:r w:rsidRPr="00B63056">
        <w:rPr>
          <w:rFonts w:asciiTheme="majorHAnsi" w:eastAsia="Times New Roman" w:hAnsiTheme="majorHAnsi" w:cstheme="majorHAnsi"/>
          <w:bCs/>
          <w:spacing w:val="20"/>
        </w:rPr>
        <w:t>Badanie jakości kształcenia w publicznych i niepublicznych przedszkolach województwa Podkarpackiego wraz z diagnozą przyczyn istnienia białych plam na mapie wychowania przedszkolnego oraz opracowaniem ekspertyzy w zakresie możliwych i efektywnych rozwiązań oraz planu działań zmierzającego do zniwelowania różnic w dostępie do wychowania przedszkolnego.</w:t>
      </w:r>
    </w:p>
    <w:p w14:paraId="14406B6A" w14:textId="0F881A92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2</w:t>
      </w:r>
      <w:r w:rsidRPr="00B63056">
        <w:rPr>
          <w:rFonts w:asciiTheme="majorHAnsi" w:eastAsia="Calibri" w:hAnsiTheme="majorHAnsi" w:cstheme="majorHAnsi"/>
          <w:bCs/>
          <w:spacing w:val="20"/>
        </w:rPr>
        <w:t xml:space="preserve">.Realizacja edukacji włączającej w przedszkolach i szkołach podstawowych województwa podkarpackiego. Dodatkowo, jako element badania temat edukacji cyfrowej – wpływ edukacji </w:t>
      </w:r>
      <w:proofErr w:type="spellStart"/>
      <w:r w:rsidRPr="00B63056">
        <w:rPr>
          <w:rFonts w:asciiTheme="majorHAnsi" w:eastAsia="Calibri" w:hAnsiTheme="majorHAnsi" w:cstheme="majorHAnsi"/>
          <w:bCs/>
          <w:spacing w:val="20"/>
        </w:rPr>
        <w:t>pozaformalnej</w:t>
      </w:r>
      <w:proofErr w:type="spellEnd"/>
      <w:r w:rsidRPr="00B63056">
        <w:rPr>
          <w:rFonts w:asciiTheme="majorHAnsi" w:eastAsia="Calibri" w:hAnsiTheme="majorHAnsi" w:cstheme="majorHAnsi"/>
          <w:bCs/>
          <w:spacing w:val="20"/>
        </w:rPr>
        <w:t xml:space="preserve"> i e-learningu na rozwój kompetencji cyfrowych na różnych etapach kształcenia.</w:t>
      </w:r>
    </w:p>
    <w:p w14:paraId="066584CC" w14:textId="750C6348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3</w:t>
      </w:r>
      <w:r w:rsidRPr="00B63056">
        <w:rPr>
          <w:rFonts w:asciiTheme="majorHAnsi" w:eastAsia="Calibri" w:hAnsiTheme="majorHAnsi" w:cstheme="majorHAnsi"/>
          <w:bCs/>
          <w:spacing w:val="20"/>
        </w:rPr>
        <w:t>. Badanie szkół policealnych w kontekście ich zdolności do zapewnienia kadr dla zielonej i cyfrowej gospodarki</w:t>
      </w:r>
      <w:r w:rsidRPr="00B63056">
        <w:rPr>
          <w:rFonts w:asciiTheme="majorHAnsi" w:eastAsia="Calibri" w:hAnsiTheme="majorHAnsi" w:cstheme="majorHAnsi"/>
          <w:b/>
          <w:bCs/>
          <w:spacing w:val="20"/>
        </w:rPr>
        <w:t xml:space="preserve"> </w:t>
      </w:r>
    </w:p>
    <w:p w14:paraId="7FA43DED" w14:textId="35F71BBF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4</w:t>
      </w:r>
      <w:r w:rsidRPr="00B63056">
        <w:rPr>
          <w:rFonts w:asciiTheme="majorHAnsi" w:eastAsia="Calibri" w:hAnsiTheme="majorHAnsi" w:cstheme="majorHAnsi"/>
          <w:bCs/>
          <w:spacing w:val="20"/>
        </w:rPr>
        <w:t>. Analiza wpływu stylu życia, nawyków zdrowotnych i behawioralnych uczniów szkół podstawowych i średnich w województwie podkarpackim na ich efektywność edukacyjną, wraz z opracowaniem ekspertyzy w zakresie możliwych i efektywnych rozwiązań wspierających zdrowie uczniów i poprawę wyników edukacyjnych.</w:t>
      </w:r>
    </w:p>
    <w:p w14:paraId="5AE8B9A9" w14:textId="0D0757F1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5</w:t>
      </w:r>
      <w:r w:rsidRPr="00B63056">
        <w:rPr>
          <w:rFonts w:asciiTheme="majorHAnsi" w:eastAsia="Calibri" w:hAnsiTheme="majorHAnsi" w:cstheme="majorHAnsi"/>
          <w:bCs/>
          <w:spacing w:val="20"/>
        </w:rPr>
        <w:t>. Sztuczna inteligencja w procesie edukacji i na rynku pracy oraz związane z tym problemy prawne.</w:t>
      </w:r>
    </w:p>
    <w:p w14:paraId="2D277F4F" w14:textId="1449DE5E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6</w:t>
      </w:r>
      <w:r w:rsidRPr="00B63056">
        <w:rPr>
          <w:rFonts w:asciiTheme="majorHAnsi" w:eastAsia="Calibri" w:hAnsiTheme="majorHAnsi" w:cstheme="majorHAnsi"/>
          <w:bCs/>
          <w:spacing w:val="20"/>
        </w:rPr>
        <w:t>. Badanie jakości kształcenia w publicznych i niepublicznych szkołach podstawowych województwa Podkarpackiego oraz opracowanie ekspertyzy w zakresie możliwych i efektywnych rozwiązań oraz planu działań zmierzających do zniwelowania różnic.</w:t>
      </w:r>
    </w:p>
    <w:p w14:paraId="5F4BB74A" w14:textId="06C37AC7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i/>
          <w:lang w:eastAsia="pl-PL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7</w:t>
      </w:r>
      <w:r w:rsidRPr="00B63056">
        <w:rPr>
          <w:rFonts w:asciiTheme="majorHAnsi" w:eastAsia="Calibri" w:hAnsiTheme="majorHAnsi" w:cstheme="majorHAnsi"/>
          <w:bCs/>
          <w:spacing w:val="20"/>
        </w:rPr>
        <w:t>. Decyzje edukacyjne podejmowane przez absolwentów szkół średnich w zakresie wyboru dalszej ścieżki kształcenia oraz czynniki wpływające na kontynuację nauki w regionie lub poza nim</w:t>
      </w:r>
      <w:r w:rsidRPr="00B63056">
        <w:rPr>
          <w:rFonts w:asciiTheme="majorHAnsi" w:eastAsia="Times New Roman" w:hAnsiTheme="majorHAnsi" w:cstheme="majorHAnsi"/>
          <w:i/>
          <w:lang w:eastAsia="pl-PL"/>
        </w:rPr>
        <w:t>.</w:t>
      </w:r>
    </w:p>
    <w:p w14:paraId="76C3778F" w14:textId="70E466DB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8.</w:t>
      </w:r>
      <w:r w:rsidRPr="00B63056">
        <w:rPr>
          <w:rFonts w:asciiTheme="majorHAnsi" w:hAnsiTheme="majorHAnsi" w:cstheme="majorHAnsi"/>
        </w:rPr>
        <w:t xml:space="preserve"> </w:t>
      </w:r>
      <w:r w:rsidRPr="00B63056">
        <w:rPr>
          <w:rFonts w:asciiTheme="majorHAnsi" w:eastAsia="Calibri" w:hAnsiTheme="majorHAnsi" w:cstheme="majorHAnsi"/>
          <w:bCs/>
          <w:spacing w:val="20"/>
        </w:rPr>
        <w:t>Kompetencje językowe w zakresie języka angielskiego wśród ósmoklasistów oraz uczniów szkół ponadpodstawowych (licea, technika, szkoły branżowe) w województwie podkarpackim – zróżnicowanie terytorialne (miasto/wieś, powiaty) oraz czynniki sprzyjające rozwojowi kompetencji.</w:t>
      </w:r>
    </w:p>
    <w:p w14:paraId="43CE9572" w14:textId="054ACDEF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9.</w:t>
      </w:r>
      <w:r w:rsidRPr="00B63056">
        <w:rPr>
          <w:rFonts w:asciiTheme="majorHAnsi" w:eastAsia="Calibri" w:hAnsiTheme="majorHAnsi" w:cstheme="majorHAnsi"/>
          <w:bCs/>
          <w:spacing w:val="20"/>
        </w:rPr>
        <w:t xml:space="preserve"> Kompetencje czytelnicze wśród uczniów szkół podstawowych i ponadpodstawowych w województwie podkarpackim – rozumienie tekstu, praktyki czytelnicze (częstotliwość, liczba książek, nośniki), preferencje oraz zróżnicowanie (miasto/wieś, etap edukacyjny).</w:t>
      </w:r>
    </w:p>
    <w:p w14:paraId="674810DA" w14:textId="21CAEC5E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10.</w:t>
      </w:r>
      <w:r w:rsidRPr="00B63056">
        <w:rPr>
          <w:rFonts w:asciiTheme="majorHAnsi" w:eastAsia="Calibri" w:hAnsiTheme="majorHAnsi" w:cstheme="majorHAnsi"/>
          <w:bCs/>
          <w:spacing w:val="20"/>
        </w:rPr>
        <w:t xml:space="preserve"> Kondycja </w:t>
      </w:r>
      <w:proofErr w:type="spellStart"/>
      <w:r w:rsidRPr="00B63056">
        <w:rPr>
          <w:rFonts w:asciiTheme="majorHAnsi" w:eastAsia="Calibri" w:hAnsiTheme="majorHAnsi" w:cstheme="majorHAnsi"/>
          <w:bCs/>
          <w:spacing w:val="20"/>
        </w:rPr>
        <w:t>psycho</w:t>
      </w:r>
      <w:proofErr w:type="spellEnd"/>
      <w:r w:rsidRPr="00B63056">
        <w:rPr>
          <w:rFonts w:asciiTheme="majorHAnsi" w:eastAsia="Calibri" w:hAnsiTheme="majorHAnsi" w:cstheme="majorHAnsi"/>
          <w:bCs/>
          <w:spacing w:val="20"/>
        </w:rPr>
        <w:t>-fizyczna i emocjonalna uczniów szkół podstawowych i ponadpodstawowych w województwie podkarpackim – diagnoza dobrostanu, obciążeń i czynników ryzyka oraz zasobów ochronnych (z uwzględnieniem zróżnicowania etapów edukacyjnych i terytorialnego).</w:t>
      </w:r>
    </w:p>
    <w:p w14:paraId="52BB5E40" w14:textId="00DAA1E0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t>Badanie 11</w:t>
      </w:r>
      <w:r w:rsidRPr="00B63056">
        <w:rPr>
          <w:rFonts w:asciiTheme="majorHAnsi" w:eastAsia="Calibri" w:hAnsiTheme="majorHAnsi" w:cstheme="majorHAnsi"/>
          <w:bCs/>
          <w:spacing w:val="20"/>
        </w:rPr>
        <w:t>. Instrumenty prawa gospodarczego na rzecz odbudowy i zwiększenia odporności regionalnego rynku pracy poprzez system koordynacji i monitorowania procesu uczenia się przez całe życie (ze szczególnym uwzględnieniem uczenia się dorosłych).</w:t>
      </w:r>
    </w:p>
    <w:p w14:paraId="69EC894A" w14:textId="5E80CC0A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Calibri" w:hAnsiTheme="majorHAnsi" w:cstheme="majorHAnsi"/>
          <w:b/>
          <w:bCs/>
          <w:spacing w:val="20"/>
        </w:rPr>
        <w:lastRenderedPageBreak/>
        <w:t>Badanie 12.</w:t>
      </w:r>
      <w:r w:rsidRPr="00B63056">
        <w:rPr>
          <w:rFonts w:asciiTheme="majorHAnsi" w:eastAsia="Calibri" w:hAnsiTheme="majorHAnsi" w:cstheme="majorHAnsi"/>
          <w:bCs/>
          <w:spacing w:val="20"/>
        </w:rPr>
        <w:t xml:space="preserve"> Projekt i wdrożenie zgodnego z RODO regionalnego systemu przetwarzania danych osobowych na potrzeby monitorowania procesu uczenia się przez całe życie.</w:t>
      </w:r>
    </w:p>
    <w:p w14:paraId="665A75B7" w14:textId="0713BCA7" w:rsidR="0066426F" w:rsidRPr="00B63056" w:rsidRDefault="0066426F" w:rsidP="0066426F">
      <w:pPr>
        <w:spacing w:after="0" w:line="276" w:lineRule="auto"/>
        <w:rPr>
          <w:rFonts w:asciiTheme="majorHAnsi" w:eastAsia="Calibri" w:hAnsiTheme="majorHAnsi" w:cstheme="majorHAnsi"/>
          <w:bCs/>
          <w:spacing w:val="20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>Badanie nr 13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>: Analiza procesu kształcenia w zakresie fizyki w aspekcie przygotowania kadr inżynierskich dla inteligentnych specjalizacji Województwa Podkarpackiego.</w:t>
      </w:r>
    </w:p>
    <w:p w14:paraId="3762D46F" w14:textId="1CF8EBD3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>Badanie nr 14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 xml:space="preserve"> Analiza procesu kształcenia w zakresie matematyki w aspekcie przygotowania kadr inżynierskich dla inteligentnych specjalizacji Województwa Podkarpackiego.</w:t>
      </w:r>
    </w:p>
    <w:p w14:paraId="657C6FD4" w14:textId="59434653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 xml:space="preserve">Badanie nr 15 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>Analiza procesu podnoszenia kwalifikacji osób pracujących na podstawie badań uczestników studiów podyplomowych.</w:t>
      </w:r>
    </w:p>
    <w:p w14:paraId="59852E54" w14:textId="77777777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 xml:space="preserve">Badanie nr 16 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>Analiza procesu kształcenia z zakresu technologii informatycznych w szkolnictwie zawodowym województwa podkarpackiego w aspekcie przygotowania kadr gotowych do aktywnego udziału w cyfryzacji i automatyzacji procesów produkcyjnych.</w:t>
      </w:r>
    </w:p>
    <w:p w14:paraId="789403AF" w14:textId="14F3235B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 xml:space="preserve">Badanie nr 17 </w:t>
      </w:r>
      <w:r w:rsidRPr="00B63056">
        <w:rPr>
          <w:rFonts w:asciiTheme="majorHAnsi" w:hAnsiTheme="majorHAnsi" w:cstheme="majorHAnsi"/>
        </w:rPr>
        <w:t xml:space="preserve"> 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>Analiza rozwoju technologii sztucznej inteligencji i robotyki, w tym robotów humanoidalnych, w kontekście wyzwań współpracy człowiek–AI–robot oraz budowania kompetencji pracownika przyszłości.</w:t>
      </w:r>
    </w:p>
    <w:p w14:paraId="615E404A" w14:textId="3DE1239C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 xml:space="preserve">Badanie nr 18 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 xml:space="preserve"> Analiza spójności oczekiwań zawodowych studentów i absolwentów kierunków inżynierskich z ofertą regionalnego rynku pracy jako fundament strategii zatrzymywania talentów na Podkarpaciu.</w:t>
      </w:r>
    </w:p>
    <w:p w14:paraId="77D5507D" w14:textId="74860F59" w:rsidR="0066426F" w:rsidRPr="00B63056" w:rsidRDefault="0066426F" w:rsidP="0066426F">
      <w:pPr>
        <w:spacing w:after="0" w:line="276" w:lineRule="auto"/>
        <w:rPr>
          <w:rFonts w:asciiTheme="majorHAnsi" w:eastAsia="Times New Roman" w:hAnsiTheme="majorHAnsi" w:cstheme="majorHAnsi"/>
          <w:bCs/>
          <w:spacing w:val="20"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spacing w:val="20"/>
          <w:lang w:eastAsia="pl-PL"/>
        </w:rPr>
        <w:t>Badanie nr 19</w:t>
      </w:r>
      <w:r w:rsidRPr="00B63056">
        <w:rPr>
          <w:rFonts w:asciiTheme="majorHAnsi" w:eastAsia="Times New Roman" w:hAnsiTheme="majorHAnsi" w:cstheme="majorHAnsi"/>
          <w:bCs/>
          <w:spacing w:val="20"/>
          <w:lang w:eastAsia="pl-PL"/>
        </w:rPr>
        <w:t xml:space="preserve"> Uczenie się przez całe życie jako determinanta rozwoju zawodowego kadr bezpieczeństwa wewnętrznego oraz budowanie odporności społecznej w województwie podkarpackim.</w:t>
      </w:r>
    </w:p>
    <w:p w14:paraId="16B4EE73" w14:textId="3192662F" w:rsidR="0066426F" w:rsidRPr="00B63056" w:rsidRDefault="0066426F" w:rsidP="002F0932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5866EB92" w14:textId="7F68195A" w:rsidR="0066426F" w:rsidRPr="00B63056" w:rsidRDefault="0066426F" w:rsidP="002F0932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p w14:paraId="358FC4C4" w14:textId="515821C8" w:rsidR="000024CF" w:rsidRPr="00B63056" w:rsidRDefault="0066426F" w:rsidP="002F0932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B63056">
        <w:rPr>
          <w:rFonts w:asciiTheme="majorHAnsi" w:eastAsia="Times New Roman" w:hAnsiTheme="majorHAnsi" w:cstheme="majorHAnsi"/>
          <w:lang w:eastAsia="pl-PL"/>
        </w:rPr>
        <w:t>Załącznik 2</w:t>
      </w:r>
      <w:r w:rsidR="000024CF" w:rsidRPr="00B63056">
        <w:rPr>
          <w:rFonts w:asciiTheme="majorHAnsi" w:eastAsia="Times New Roman" w:hAnsiTheme="majorHAnsi" w:cstheme="majorHAnsi"/>
          <w:lang w:eastAsia="pl-PL"/>
        </w:rPr>
        <w:t>.</w:t>
      </w:r>
    </w:p>
    <w:p w14:paraId="57A17F50" w14:textId="1D71E5F6" w:rsidR="0066426F" w:rsidRPr="00B63056" w:rsidRDefault="0066426F" w:rsidP="002F0932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 w:rsidRPr="00B63056">
        <w:rPr>
          <w:rFonts w:asciiTheme="majorHAnsi" w:eastAsia="Times New Roman" w:hAnsiTheme="majorHAnsi" w:cstheme="majorHAnsi"/>
          <w:b/>
          <w:bCs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9"/>
        <w:gridCol w:w="5138"/>
        <w:gridCol w:w="1775"/>
      </w:tblGrid>
      <w:tr w:rsidR="000024CF" w:rsidRPr="00B63056" w14:paraId="34B8076A" w14:textId="77777777" w:rsidTr="00DA2961">
        <w:trPr>
          <w:trHeight w:val="383"/>
        </w:trPr>
        <w:tc>
          <w:tcPr>
            <w:tcW w:w="1966" w:type="dxa"/>
            <w:hideMark/>
          </w:tcPr>
          <w:p w14:paraId="70C4B929" w14:textId="77777777" w:rsidR="000024CF" w:rsidRPr="00B63056" w:rsidRDefault="000024CF" w:rsidP="00DA296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Tytuł</w:t>
            </w:r>
          </w:p>
        </w:tc>
        <w:tc>
          <w:tcPr>
            <w:tcW w:w="5400" w:type="dxa"/>
            <w:hideMark/>
          </w:tcPr>
          <w:p w14:paraId="46005321" w14:textId="77777777" w:rsidR="000024CF" w:rsidRPr="00B63056" w:rsidRDefault="000024CF" w:rsidP="00DA296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Przedmiot rekomendacji</w:t>
            </w:r>
          </w:p>
        </w:tc>
        <w:tc>
          <w:tcPr>
            <w:tcW w:w="236" w:type="dxa"/>
            <w:noWrap/>
            <w:hideMark/>
          </w:tcPr>
          <w:p w14:paraId="1581EEEF" w14:textId="77777777" w:rsidR="000024CF" w:rsidRPr="00B63056" w:rsidRDefault="000024CF" w:rsidP="00DA2961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etap realizacji</w:t>
            </w:r>
          </w:p>
        </w:tc>
      </w:tr>
      <w:tr w:rsidR="000024CF" w:rsidRPr="00B63056" w14:paraId="604FDC22" w14:textId="77777777" w:rsidTr="00DA2961">
        <w:trPr>
          <w:trHeight w:val="1728"/>
        </w:trPr>
        <w:tc>
          <w:tcPr>
            <w:tcW w:w="1966" w:type="dxa"/>
            <w:hideMark/>
          </w:tcPr>
          <w:p w14:paraId="13013704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KORPUS NKZ – systemowe wsparcie i rozwój nauczycieli kształcenia zawodowego w woj. Podkarpackim</w:t>
            </w:r>
          </w:p>
        </w:tc>
        <w:tc>
          <w:tcPr>
            <w:tcW w:w="5400" w:type="dxa"/>
            <w:hideMark/>
          </w:tcPr>
          <w:p w14:paraId="30A84F33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To program budowy profesjonalnego zaplecza kadrowego dla szkół zawodowych na Podkarpaciu, który ma przyciągnąć nowych fachowców do zawodu i rozwinąć obecnych nauczycieli. W praktyce tworzy on „pomost” między szkołą, przemysłem a uczelnią, oferując nauczycielom staże w nowoczesnych firmach, a nowym kandydatom (studentom i inżynierom) stypendia, darmowe uprawnienia pedagogiczne i mentoring na starcie.</w:t>
            </w:r>
          </w:p>
        </w:tc>
        <w:tc>
          <w:tcPr>
            <w:tcW w:w="236" w:type="dxa"/>
            <w:noWrap/>
            <w:hideMark/>
          </w:tcPr>
          <w:p w14:paraId="43F31A97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Rekomendacja przyjęta uchwałą WZK</w:t>
            </w:r>
          </w:p>
        </w:tc>
      </w:tr>
      <w:tr w:rsidR="000024CF" w:rsidRPr="00B63056" w14:paraId="50363D78" w14:textId="77777777" w:rsidTr="00DA2961">
        <w:trPr>
          <w:trHeight w:val="2088"/>
        </w:trPr>
        <w:tc>
          <w:tcPr>
            <w:tcW w:w="1966" w:type="dxa"/>
            <w:hideMark/>
          </w:tcPr>
          <w:p w14:paraId="72BCF6EA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Systemowy model współpracy szkoły zawodowej z przemysłem w oparciu o jednolite standardy praktyk i staży zawodowych </w:t>
            </w:r>
          </w:p>
        </w:tc>
        <w:tc>
          <w:tcPr>
            <w:tcW w:w="5400" w:type="dxa"/>
            <w:hideMark/>
          </w:tcPr>
          <w:p w14:paraId="565964CB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To systemowy model budowy trwałego sojuszu szkoły z przemysłem, który porządkuje zasady współpracy poprzez jednolite standardy staży, wzorcowe umowy oraz profesjonalne szkolenia dla mentorów w firmach. Program zapewnia finansowe wsparcie dla przedsiębiorców, nowoczesny sprzęt dla szkół i angażuje pracodawców w tworzenie programów nauczania, aby edukacja zawodowa precyzyjnie odpowiadała potrzebom nowoczesnej gospodarki.</w:t>
            </w:r>
          </w:p>
        </w:tc>
        <w:tc>
          <w:tcPr>
            <w:tcW w:w="236" w:type="dxa"/>
            <w:noWrap/>
            <w:hideMark/>
          </w:tcPr>
          <w:p w14:paraId="3E7CAE44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Rekomendacja przyjęta uchwałą WZK</w:t>
            </w:r>
          </w:p>
        </w:tc>
      </w:tr>
      <w:tr w:rsidR="000024CF" w:rsidRPr="00B63056" w14:paraId="3FB46F0D" w14:textId="77777777" w:rsidTr="00DA2961">
        <w:trPr>
          <w:trHeight w:val="1676"/>
        </w:trPr>
        <w:tc>
          <w:tcPr>
            <w:tcW w:w="1966" w:type="dxa"/>
            <w:hideMark/>
          </w:tcPr>
          <w:p w14:paraId="4BE10B78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 xml:space="preserve">Wprowadzenie do szkół zajęć z zakresu 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cyberbezpieczeństwa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i sztucznej inteligencji</w:t>
            </w:r>
          </w:p>
        </w:tc>
        <w:tc>
          <w:tcPr>
            <w:tcW w:w="5400" w:type="dxa"/>
            <w:hideMark/>
          </w:tcPr>
          <w:p w14:paraId="1381E37F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To systemowy program budujący „odporność technologiczną” uczniów poprzez łączenie wiedzy o AI i 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cyberbezpieczeństwie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z odpornością psychiczną oraz nauką twórczego wykorzystania narzędzi do rozwoju, a nie tylko rozrywki. Jego celem jest zmiana młodych ludzi z biernych odbiorców technologii w jej świadomych, bezpiecznych i kreatywnych twórców.</w:t>
            </w:r>
          </w:p>
        </w:tc>
        <w:tc>
          <w:tcPr>
            <w:tcW w:w="236" w:type="dxa"/>
            <w:noWrap/>
            <w:hideMark/>
          </w:tcPr>
          <w:p w14:paraId="79013E00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Rekomendacja przyjęta uchwałą WZK</w:t>
            </w:r>
          </w:p>
        </w:tc>
      </w:tr>
      <w:tr w:rsidR="000024CF" w:rsidRPr="00B63056" w14:paraId="0BA9768A" w14:textId="77777777" w:rsidTr="00DA2961">
        <w:trPr>
          <w:trHeight w:val="2088"/>
        </w:trPr>
        <w:tc>
          <w:tcPr>
            <w:tcW w:w="1966" w:type="dxa"/>
            <w:hideMark/>
          </w:tcPr>
          <w:p w14:paraId="081512AE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Regionalny system edukacji matematycznej oparty na rozumieniu i technologii </w:t>
            </w:r>
          </w:p>
        </w:tc>
        <w:tc>
          <w:tcPr>
            <w:tcW w:w="5400" w:type="dxa"/>
            <w:hideMark/>
          </w:tcPr>
          <w:p w14:paraId="2B7A3F3B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Istotą tej rekomendacji jest stworzenie regionalnego systemu, który przesuwa ciężar nauki matematyki z liczenia schematów na zrozumienie, jak myśli uczeń. W praktyce wprowadza ona obowiązkowe warsztaty dla nauczycieli oparte na analizie procesów myślowych, buduje sieć szkół ściśle współpracujących z uniwersytetem oraz podnosi „naukę o nauczaniu” (dydaktykę) do rangi poważnej dyscypliny naukowej, by trwale poprawić jakość edukacji na Podkarpaciu.</w:t>
            </w:r>
          </w:p>
        </w:tc>
        <w:tc>
          <w:tcPr>
            <w:tcW w:w="236" w:type="dxa"/>
            <w:noWrap/>
            <w:hideMark/>
          </w:tcPr>
          <w:p w14:paraId="0BD87FBF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Rekomendacja przyjęta uchwałą WZK</w:t>
            </w:r>
          </w:p>
        </w:tc>
      </w:tr>
      <w:tr w:rsidR="000024CF" w:rsidRPr="00B63056" w14:paraId="71E6C52F" w14:textId="77777777" w:rsidTr="00DA2961">
        <w:trPr>
          <w:trHeight w:val="2016"/>
        </w:trPr>
        <w:tc>
          <w:tcPr>
            <w:tcW w:w="1966" w:type="dxa"/>
            <w:hideMark/>
          </w:tcPr>
          <w:p w14:paraId="7F354FCA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Rozwój umiejętności w dziedzinie gotowości cywilnej mieszkańców woj. Podkarpackiego</w:t>
            </w:r>
          </w:p>
        </w:tc>
        <w:tc>
          <w:tcPr>
            <w:tcW w:w="5400" w:type="dxa"/>
            <w:hideMark/>
          </w:tcPr>
          <w:p w14:paraId="3B42F969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To program budowy społecznej odporności Podkarpacia, który ma przygotować mieszkańców do radzenia sobie w sytuacjach kryzysowych, takich jak klęski żywiołowe czy zagrożenia hybrydowe. W praktyce wprowadza on specjalistyczne kursy z zakresu pierwszej pomocy, przetrwania (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survival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/SERE), łączności oraz bezpiecznego posługiwania się bronią, aby w razie zagrożenia obywatele potrafili skutecznie zadbać o bezpieczeństwo swoje i lokalnej społeczności.</w:t>
            </w:r>
          </w:p>
        </w:tc>
        <w:tc>
          <w:tcPr>
            <w:tcW w:w="236" w:type="dxa"/>
            <w:noWrap/>
            <w:hideMark/>
          </w:tcPr>
          <w:p w14:paraId="136702E5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024CF" w:rsidRPr="00B63056" w14:paraId="563C604C" w14:textId="77777777" w:rsidTr="00DA2961">
        <w:trPr>
          <w:trHeight w:val="657"/>
        </w:trPr>
        <w:tc>
          <w:tcPr>
            <w:tcW w:w="1966" w:type="dxa"/>
            <w:hideMark/>
          </w:tcPr>
          <w:p w14:paraId="3D278C8B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Aktywizacja zawodowa i rozwój kompetencji pracowników w kontekście technologii dual – 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use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(podwójnego zastosowania)</w:t>
            </w:r>
          </w:p>
        </w:tc>
        <w:tc>
          <w:tcPr>
            <w:tcW w:w="5400" w:type="dxa"/>
            <w:hideMark/>
          </w:tcPr>
          <w:p w14:paraId="31477CB3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Technologie dual-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use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to innowacyjne rozwiązania, takie jak sztuczna inteligencja, drony, robotyka czy 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cyberbezpieczeństwo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, które mają zastosowanie zarówno w cywilnej gospodarce (np. przemysł, medycyna), jak i w wojsku (obrona, bezpieczeństwo). Rekomendacja WZK dla Podkarpacia zakłada kompleksowe szkolenie pracowników, studentów i uczniów w tych technologiach poprzez staże w firmach, specjalistyczne kursy oraz programy studiów, co pozwoli na rozwój interdyscyplinarnych kompetencji, transfer wiedzy między sektorami cywilnym i obronnym, a tym samym zwiększy innowacyjność regionu i konkurencyjność polskich przedsiębiorstw na rynkach międzynarodowych.</w:t>
            </w:r>
          </w:p>
        </w:tc>
        <w:tc>
          <w:tcPr>
            <w:tcW w:w="236" w:type="dxa"/>
            <w:noWrap/>
            <w:hideMark/>
          </w:tcPr>
          <w:p w14:paraId="1E87AE74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024CF" w:rsidRPr="00B63056" w14:paraId="0222CE89" w14:textId="77777777" w:rsidTr="00DA2961">
        <w:trPr>
          <w:trHeight w:val="1440"/>
        </w:trPr>
        <w:tc>
          <w:tcPr>
            <w:tcW w:w="1966" w:type="dxa"/>
            <w:hideMark/>
          </w:tcPr>
          <w:p w14:paraId="65471A60" w14:textId="7B4FD63B" w:rsidR="000024CF" w:rsidRPr="00B63056" w:rsidRDefault="00B63056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Z</w:t>
            </w:r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t>bliżeni</w:t>
            </w: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e</w:t>
            </w:r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osiągnięć </w:t>
            </w:r>
            <w:proofErr w:type="spellStart"/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t>neuronauk</w:t>
            </w:r>
            <w:proofErr w:type="spellEnd"/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do edukacji</w:t>
            </w:r>
          </w:p>
        </w:tc>
        <w:tc>
          <w:tcPr>
            <w:tcW w:w="5400" w:type="dxa"/>
            <w:hideMark/>
          </w:tcPr>
          <w:p w14:paraId="73CBBBC0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Opracowanie systemowych mechanizmów, które umożliwią włączenie zasad </w:t>
            </w:r>
            <w:proofErr w:type="spellStart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neurodydaktyki</w:t>
            </w:r>
            <w:proofErr w:type="spellEnd"/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 w procesy edukacyjne na różnych poziomach – szkoły podstawowej i średniej, kształcenia zawodowego, kursów dla dorosłych – w sposób praktyczny, mierzalny i dostosowany do realiów polskiego systemu edukacji.</w:t>
            </w:r>
          </w:p>
        </w:tc>
        <w:tc>
          <w:tcPr>
            <w:tcW w:w="236" w:type="dxa"/>
            <w:hideMark/>
          </w:tcPr>
          <w:p w14:paraId="69EE9DA6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w opracowaniu - powołany jest zespół międzyuczelniany w zakresie opracowania tej rekomendacji - z ramienia Rady Rektorów. </w:t>
            </w:r>
          </w:p>
        </w:tc>
      </w:tr>
      <w:tr w:rsidR="000024CF" w:rsidRPr="00B63056" w14:paraId="3D4B7F5A" w14:textId="77777777" w:rsidTr="00DA2961">
        <w:trPr>
          <w:trHeight w:val="1440"/>
        </w:trPr>
        <w:tc>
          <w:tcPr>
            <w:tcW w:w="1966" w:type="dxa"/>
            <w:hideMark/>
          </w:tcPr>
          <w:p w14:paraId="0C5A2076" w14:textId="7C407440" w:rsidR="000024CF" w:rsidRPr="00B63056" w:rsidRDefault="00B63056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lastRenderedPageBreak/>
              <w:t>U</w:t>
            </w:r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t>łatwienie uczniom klas trzecich przyjazne</w:t>
            </w:r>
            <w:r w:rsidR="000024CF" w:rsidRPr="00B63056">
              <w:rPr>
                <w:rFonts w:asciiTheme="majorHAnsi" w:eastAsia="Times New Roman" w:hAnsiTheme="majorHAnsi" w:cstheme="majorHAnsi"/>
                <w:lang w:eastAsia="pl-PL"/>
              </w:rPr>
              <w:br/>
              <w:t xml:space="preserve">przejście na wyższy etap edukacyjny </w:t>
            </w:r>
          </w:p>
        </w:tc>
        <w:tc>
          <w:tcPr>
            <w:tcW w:w="5400" w:type="dxa"/>
            <w:hideMark/>
          </w:tcPr>
          <w:p w14:paraId="789BF54E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Jest to program „miękkiego lądowania”, który ma na celu zniwelowanie stresu i niepowodzeń szkolnych u uczniów przechodzących z edukacji wczesnoszkolnej (klasa III) do nauczania przedmiotowego (klasa IV). Idea opiera się na empatii (SERCE) oraz konkretnych działaniach wspierających (POMOC) proces adaptacji dziecka w nowej rzeczywistości szkolnej.</w:t>
            </w:r>
          </w:p>
        </w:tc>
        <w:tc>
          <w:tcPr>
            <w:tcW w:w="236" w:type="dxa"/>
            <w:noWrap/>
            <w:hideMark/>
          </w:tcPr>
          <w:p w14:paraId="121EA924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  <w:tr w:rsidR="000024CF" w:rsidRPr="00B63056" w14:paraId="3A8DBF4C" w14:textId="77777777" w:rsidTr="00DA2961">
        <w:trPr>
          <w:trHeight w:val="1440"/>
        </w:trPr>
        <w:tc>
          <w:tcPr>
            <w:tcW w:w="1966" w:type="dxa"/>
          </w:tcPr>
          <w:p w14:paraId="14617F28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</w:rPr>
            </w:pPr>
            <w:r w:rsidRPr="00B63056">
              <w:rPr>
                <w:rFonts w:asciiTheme="majorHAnsi" w:eastAsia="Times New Roman" w:hAnsiTheme="majorHAnsi" w:cstheme="majorHAnsi"/>
              </w:rPr>
              <w:t>Wzmocnienie doradztwa zawodowego w warunkach transformacji cyfrowej)</w:t>
            </w:r>
          </w:p>
          <w:p w14:paraId="7B57E4BD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5400" w:type="dxa"/>
          </w:tcPr>
          <w:p w14:paraId="75EF243D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Rekomendacja dotycząca wzmocnienia doradztwa zawodowego z wykorzystaniem cyfrowych narzędzi, AI i VR ma na celu przygotowanie uczniów i dorosłych do świadomego podejmowania decyzji edukacyjno-zawodowych w warunkach cyfrowej transformacji, rozwijając kompetencje niezbędne na rynku pracy przyszłości.</w:t>
            </w:r>
          </w:p>
        </w:tc>
        <w:tc>
          <w:tcPr>
            <w:tcW w:w="236" w:type="dxa"/>
            <w:noWrap/>
          </w:tcPr>
          <w:p w14:paraId="724E227B" w14:textId="7AA096A6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 xml:space="preserve">w opracowaniu </w:t>
            </w:r>
          </w:p>
        </w:tc>
      </w:tr>
      <w:tr w:rsidR="000024CF" w:rsidRPr="00B63056" w14:paraId="0F7BDA49" w14:textId="77777777" w:rsidTr="00DA2961">
        <w:trPr>
          <w:trHeight w:val="1440"/>
        </w:trPr>
        <w:tc>
          <w:tcPr>
            <w:tcW w:w="1966" w:type="dxa"/>
          </w:tcPr>
          <w:p w14:paraId="6AF08EC3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</w:rPr>
            </w:pPr>
            <w:r w:rsidRPr="00B63056">
              <w:rPr>
                <w:rFonts w:asciiTheme="majorHAnsi" w:eastAsia="Times New Roman" w:hAnsiTheme="majorHAnsi" w:cstheme="majorHAnsi"/>
              </w:rPr>
              <w:t xml:space="preserve">Stworzenie i promowanie regionalnego  modelu doradztwa zawodowego. </w:t>
            </w:r>
          </w:p>
          <w:p w14:paraId="29A1CBF9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5400" w:type="dxa"/>
          </w:tcPr>
          <w:p w14:paraId="3F1AD01F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hAnsiTheme="majorHAnsi" w:cstheme="majorHAnsi"/>
              </w:rPr>
              <w:t xml:space="preserve">Rekomendacja dotycząca </w:t>
            </w:r>
            <w:r w:rsidRPr="00B63056">
              <w:rPr>
                <w:rStyle w:val="Pogrubienie"/>
                <w:rFonts w:asciiTheme="majorHAnsi" w:hAnsiTheme="majorHAnsi" w:cstheme="majorHAnsi"/>
                <w:b w:val="0"/>
                <w:bCs w:val="0"/>
              </w:rPr>
              <w:t>stworzenia i promowania regionalnego modelu doradztwa zawodowego</w:t>
            </w:r>
            <w:r w:rsidRPr="00B63056">
              <w:rPr>
                <w:rFonts w:asciiTheme="majorHAnsi" w:hAnsiTheme="majorHAnsi" w:cstheme="majorHAnsi"/>
              </w:rPr>
              <w:t xml:space="preserve"> zakłada wypracowanie spójnego, kompleksowego systemu wsparcia dla uczniów i dorosłych w całym województwie, który umożliwi lepsze dopasowanie edukacji do potrzeb rynku pracy i indywidualnych aspiracji.</w:t>
            </w:r>
          </w:p>
        </w:tc>
        <w:tc>
          <w:tcPr>
            <w:tcW w:w="236" w:type="dxa"/>
            <w:noWrap/>
          </w:tcPr>
          <w:p w14:paraId="02AF05BD" w14:textId="77777777" w:rsidR="000024CF" w:rsidRPr="00B63056" w:rsidRDefault="000024CF" w:rsidP="00DA2961">
            <w:pPr>
              <w:rPr>
                <w:rFonts w:asciiTheme="majorHAnsi" w:eastAsia="Times New Roman" w:hAnsiTheme="majorHAnsi" w:cstheme="majorHAnsi"/>
                <w:lang w:eastAsia="pl-PL"/>
              </w:rPr>
            </w:pPr>
            <w:r w:rsidRPr="00B63056">
              <w:rPr>
                <w:rFonts w:asciiTheme="majorHAnsi" w:eastAsia="Times New Roman" w:hAnsiTheme="majorHAnsi" w:cstheme="majorHAnsi"/>
                <w:lang w:eastAsia="pl-PL"/>
              </w:rPr>
              <w:t>w opracowaniu</w:t>
            </w:r>
          </w:p>
        </w:tc>
      </w:tr>
    </w:tbl>
    <w:p w14:paraId="2855705F" w14:textId="77777777" w:rsidR="000024CF" w:rsidRPr="00B63056" w:rsidRDefault="000024CF" w:rsidP="002F0932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</w:p>
    <w:sectPr w:rsidR="000024CF" w:rsidRPr="00B63056" w:rsidSect="007B3C66">
      <w:headerReference w:type="default" r:id="rId8"/>
      <w:footerReference w:type="default" r:id="rId9"/>
      <w:pgSz w:w="11906" w:h="16838"/>
      <w:pgMar w:top="1135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04DA" w14:textId="77777777" w:rsidR="00A90C41" w:rsidRDefault="00A90C41" w:rsidP="006966A4">
      <w:pPr>
        <w:spacing w:after="0" w:line="240" w:lineRule="auto"/>
      </w:pPr>
      <w:r>
        <w:separator/>
      </w:r>
    </w:p>
  </w:endnote>
  <w:endnote w:type="continuationSeparator" w:id="0">
    <w:p w14:paraId="4C85364C" w14:textId="77777777" w:rsidR="00A90C41" w:rsidRDefault="00A90C41" w:rsidP="00696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CB70" w14:textId="77777777" w:rsidR="00FF132F" w:rsidRDefault="00FF132F" w:rsidP="00FF132F">
    <w:pPr>
      <w:tabs>
        <w:tab w:val="left" w:pos="972"/>
      </w:tabs>
      <w:jc w:val="center"/>
      <w:rPr>
        <w:rFonts w:ascii="Trebuchet MS" w:eastAsia="Times New Roman" w:hAnsi="Trebuchet MS" w:cs="Arial"/>
        <w:sz w:val="18"/>
        <w:szCs w:val="18"/>
        <w:lang w:eastAsia="pl-PL"/>
      </w:rPr>
    </w:pPr>
  </w:p>
  <w:p w14:paraId="262FFB57" w14:textId="44F8E60D" w:rsidR="00FF132F" w:rsidRDefault="00FF132F" w:rsidP="00FF132F">
    <w:pPr>
      <w:tabs>
        <w:tab w:val="left" w:pos="972"/>
      </w:tabs>
      <w:jc w:val="center"/>
    </w:pPr>
    <w:r w:rsidRPr="00782D4E">
      <w:rPr>
        <w:rFonts w:ascii="Trebuchet MS" w:eastAsia="Times New Roman" w:hAnsi="Trebuchet MS" w:cs="Arial"/>
        <w:sz w:val="18"/>
        <w:szCs w:val="18"/>
        <w:lang w:eastAsia="pl-PL"/>
      </w:rPr>
      <w:t>„Zbudowanie systemu koordynacji i monitorowania regionalnych działań na rzecz kształcenia zawodowego, szkolnictwa wyższego oraz uczenia się przez całe życie, w tym uczenia się dorosłych” realizowane w ramach inwestycji A.3.1.1 Krajowego Planu Odbudowy i Zwiększenia Odporności</w:t>
    </w:r>
  </w:p>
  <w:p w14:paraId="2DD98EE7" w14:textId="77777777" w:rsidR="00FF132F" w:rsidRDefault="00FF13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7BB4" w14:textId="77777777" w:rsidR="00A90C41" w:rsidRDefault="00A90C41" w:rsidP="006966A4">
      <w:pPr>
        <w:spacing w:after="0" w:line="240" w:lineRule="auto"/>
      </w:pPr>
      <w:r>
        <w:separator/>
      </w:r>
    </w:p>
  </w:footnote>
  <w:footnote w:type="continuationSeparator" w:id="0">
    <w:p w14:paraId="05503503" w14:textId="77777777" w:rsidR="00A90C41" w:rsidRDefault="00A90C41" w:rsidP="00696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4A52" w14:textId="41632DAC" w:rsidR="006966A4" w:rsidRDefault="006966A4">
    <w:pPr>
      <w:pStyle w:val="Nagwek"/>
    </w:pPr>
    <w:r w:rsidRPr="00E53DDB">
      <w:rPr>
        <w:rFonts w:ascii="Trebuchet MS" w:hAnsi="Trebuchet MS"/>
        <w:noProof/>
        <w:lang w:eastAsia="pl-PL"/>
      </w:rPr>
      <w:drawing>
        <wp:inline distT="0" distB="0" distL="0" distR="0" wp14:anchorId="14DC00AB" wp14:editId="57126A26">
          <wp:extent cx="5759450" cy="746760"/>
          <wp:effectExtent l="0" t="0" r="0" b="0"/>
          <wp:docPr id="10" name="Obraz 10" descr="C:\Users\Jadwiga.Chmura\AppData\Local\Microsoft\Windows\INetCache\Content.Word\Projekt bez nazw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Jadwiga.Chmura\AppData\Local\Microsoft\Windows\INetCache\Content.Word\Projekt bez nazw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10" b="42137"/>
                  <a:stretch/>
                </pic:blipFill>
                <pic:spPr bwMode="auto">
                  <a:xfrm>
                    <a:off x="0" y="0"/>
                    <a:ext cx="575945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460"/>
    <w:multiLevelType w:val="hybridMultilevel"/>
    <w:tmpl w:val="DAB02AA0"/>
    <w:lvl w:ilvl="0" w:tplc="3544EE9E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99D"/>
    <w:multiLevelType w:val="multilevel"/>
    <w:tmpl w:val="1696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F698D"/>
    <w:multiLevelType w:val="multilevel"/>
    <w:tmpl w:val="2CDC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E2736"/>
    <w:multiLevelType w:val="hybridMultilevel"/>
    <w:tmpl w:val="BC8A7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C5972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813AC"/>
    <w:multiLevelType w:val="multilevel"/>
    <w:tmpl w:val="D33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349A7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743E8"/>
    <w:multiLevelType w:val="multilevel"/>
    <w:tmpl w:val="D3FC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76A13"/>
    <w:multiLevelType w:val="multilevel"/>
    <w:tmpl w:val="750C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6747C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93D73"/>
    <w:multiLevelType w:val="multilevel"/>
    <w:tmpl w:val="5B1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F5DAA"/>
    <w:multiLevelType w:val="hybridMultilevel"/>
    <w:tmpl w:val="BE36B5D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5A3198D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F4B4B"/>
    <w:multiLevelType w:val="multilevel"/>
    <w:tmpl w:val="6E74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01F19"/>
    <w:multiLevelType w:val="multilevel"/>
    <w:tmpl w:val="50B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B38C6"/>
    <w:multiLevelType w:val="multilevel"/>
    <w:tmpl w:val="8B3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08799F"/>
    <w:multiLevelType w:val="multilevel"/>
    <w:tmpl w:val="323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D871DE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991E92"/>
    <w:multiLevelType w:val="multilevel"/>
    <w:tmpl w:val="02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D34FB3"/>
    <w:multiLevelType w:val="multilevel"/>
    <w:tmpl w:val="BE9C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57FC9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C2A04"/>
    <w:multiLevelType w:val="multilevel"/>
    <w:tmpl w:val="2094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F7466"/>
    <w:multiLevelType w:val="multilevel"/>
    <w:tmpl w:val="5F7C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C19B5"/>
    <w:multiLevelType w:val="hybridMultilevel"/>
    <w:tmpl w:val="F7644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0213E"/>
    <w:multiLevelType w:val="multilevel"/>
    <w:tmpl w:val="10E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C551B6"/>
    <w:multiLevelType w:val="multilevel"/>
    <w:tmpl w:val="DAD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35E48"/>
    <w:multiLevelType w:val="multilevel"/>
    <w:tmpl w:val="8544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0C3299"/>
    <w:multiLevelType w:val="multilevel"/>
    <w:tmpl w:val="CDB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F81543"/>
    <w:multiLevelType w:val="hybridMultilevel"/>
    <w:tmpl w:val="C44C4044"/>
    <w:lvl w:ilvl="0" w:tplc="DB025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EC54442"/>
    <w:multiLevelType w:val="multilevel"/>
    <w:tmpl w:val="ACCA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7E663B"/>
    <w:multiLevelType w:val="multilevel"/>
    <w:tmpl w:val="6A3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9859BD"/>
    <w:multiLevelType w:val="multilevel"/>
    <w:tmpl w:val="F052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341AE9"/>
    <w:multiLevelType w:val="multilevel"/>
    <w:tmpl w:val="0770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352E5"/>
    <w:multiLevelType w:val="multilevel"/>
    <w:tmpl w:val="A09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C5953"/>
    <w:multiLevelType w:val="multilevel"/>
    <w:tmpl w:val="3936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491700"/>
    <w:multiLevelType w:val="multilevel"/>
    <w:tmpl w:val="0BD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86224"/>
    <w:multiLevelType w:val="multilevel"/>
    <w:tmpl w:val="A51A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27762"/>
    <w:multiLevelType w:val="multilevel"/>
    <w:tmpl w:val="8624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2339FC"/>
    <w:multiLevelType w:val="multilevel"/>
    <w:tmpl w:val="854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C572D1"/>
    <w:multiLevelType w:val="multilevel"/>
    <w:tmpl w:val="328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166963">
    <w:abstractNumId w:val="7"/>
  </w:num>
  <w:num w:numId="2" w16cid:durableId="194201127">
    <w:abstractNumId w:val="29"/>
  </w:num>
  <w:num w:numId="3" w16cid:durableId="1081293844">
    <w:abstractNumId w:val="24"/>
  </w:num>
  <w:num w:numId="4" w16cid:durableId="247546035">
    <w:abstractNumId w:val="16"/>
  </w:num>
  <w:num w:numId="5" w16cid:durableId="202524405">
    <w:abstractNumId w:val="33"/>
  </w:num>
  <w:num w:numId="6" w16cid:durableId="1680348041">
    <w:abstractNumId w:val="25"/>
  </w:num>
  <w:num w:numId="7" w16cid:durableId="966618768">
    <w:abstractNumId w:val="1"/>
  </w:num>
  <w:num w:numId="8" w16cid:durableId="2046758193">
    <w:abstractNumId w:val="10"/>
  </w:num>
  <w:num w:numId="9" w16cid:durableId="1384331071">
    <w:abstractNumId w:val="12"/>
  </w:num>
  <w:num w:numId="10" w16cid:durableId="2001230255">
    <w:abstractNumId w:val="26"/>
  </w:num>
  <w:num w:numId="11" w16cid:durableId="217086589">
    <w:abstractNumId w:val="20"/>
  </w:num>
  <w:num w:numId="12" w16cid:durableId="691763512">
    <w:abstractNumId w:val="9"/>
  </w:num>
  <w:num w:numId="13" w16cid:durableId="622032384">
    <w:abstractNumId w:val="4"/>
  </w:num>
  <w:num w:numId="14" w16cid:durableId="1621300868">
    <w:abstractNumId w:val="17"/>
  </w:num>
  <w:num w:numId="15" w16cid:durableId="131335450">
    <w:abstractNumId w:val="6"/>
  </w:num>
  <w:num w:numId="16" w16cid:durableId="1939751476">
    <w:abstractNumId w:val="11"/>
  </w:num>
  <w:num w:numId="17" w16cid:durableId="827864446">
    <w:abstractNumId w:val="28"/>
  </w:num>
  <w:num w:numId="18" w16cid:durableId="1029185979">
    <w:abstractNumId w:val="3"/>
  </w:num>
  <w:num w:numId="19" w16cid:durableId="1391078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3794111">
    <w:abstractNumId w:val="30"/>
  </w:num>
  <w:num w:numId="21" w16cid:durableId="708771935">
    <w:abstractNumId w:val="32"/>
  </w:num>
  <w:num w:numId="22" w16cid:durableId="2049795696">
    <w:abstractNumId w:val="14"/>
  </w:num>
  <w:num w:numId="23" w16cid:durableId="216011761">
    <w:abstractNumId w:val="36"/>
  </w:num>
  <w:num w:numId="24" w16cid:durableId="1287656616">
    <w:abstractNumId w:val="13"/>
  </w:num>
  <w:num w:numId="25" w16cid:durableId="1145970408">
    <w:abstractNumId w:val="27"/>
  </w:num>
  <w:num w:numId="26" w16cid:durableId="266084862">
    <w:abstractNumId w:val="19"/>
  </w:num>
  <w:num w:numId="27" w16cid:durableId="47922454">
    <w:abstractNumId w:val="2"/>
  </w:num>
  <w:num w:numId="28" w16cid:durableId="1102992748">
    <w:abstractNumId w:val="37"/>
  </w:num>
  <w:num w:numId="29" w16cid:durableId="1726488739">
    <w:abstractNumId w:val="34"/>
  </w:num>
  <w:num w:numId="30" w16cid:durableId="1344864814">
    <w:abstractNumId w:val="38"/>
  </w:num>
  <w:num w:numId="31" w16cid:durableId="542399732">
    <w:abstractNumId w:val="21"/>
  </w:num>
  <w:num w:numId="32" w16cid:durableId="10839825">
    <w:abstractNumId w:val="5"/>
  </w:num>
  <w:num w:numId="33" w16cid:durableId="322314098">
    <w:abstractNumId w:val="35"/>
  </w:num>
  <w:num w:numId="34" w16cid:durableId="739330369">
    <w:abstractNumId w:val="18"/>
  </w:num>
  <w:num w:numId="35" w16cid:durableId="809248377">
    <w:abstractNumId w:val="22"/>
  </w:num>
  <w:num w:numId="36" w16cid:durableId="1720670132">
    <w:abstractNumId w:val="15"/>
  </w:num>
  <w:num w:numId="37" w16cid:durableId="2029023445">
    <w:abstractNumId w:val="8"/>
  </w:num>
  <w:num w:numId="38" w16cid:durableId="1490366380">
    <w:abstractNumId w:val="39"/>
  </w:num>
  <w:num w:numId="39" w16cid:durableId="379208442">
    <w:abstractNumId w:val="31"/>
  </w:num>
  <w:num w:numId="40" w16cid:durableId="892275307">
    <w:abstractNumId w:val="0"/>
  </w:num>
  <w:num w:numId="41" w16cid:durableId="6750545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E7"/>
    <w:rsid w:val="000024CF"/>
    <w:rsid w:val="00002756"/>
    <w:rsid w:val="0001146B"/>
    <w:rsid w:val="0003151C"/>
    <w:rsid w:val="00061AB9"/>
    <w:rsid w:val="0009578C"/>
    <w:rsid w:val="000C63C2"/>
    <w:rsid w:val="000D0EFF"/>
    <w:rsid w:val="001008F3"/>
    <w:rsid w:val="00113DE3"/>
    <w:rsid w:val="0012266C"/>
    <w:rsid w:val="00130E53"/>
    <w:rsid w:val="00152BA9"/>
    <w:rsid w:val="00172B26"/>
    <w:rsid w:val="0017521F"/>
    <w:rsid w:val="001A30F5"/>
    <w:rsid w:val="001D3243"/>
    <w:rsid w:val="00200D61"/>
    <w:rsid w:val="00216BAD"/>
    <w:rsid w:val="0023215C"/>
    <w:rsid w:val="00273110"/>
    <w:rsid w:val="00292685"/>
    <w:rsid w:val="002D688E"/>
    <w:rsid w:val="002E0EAB"/>
    <w:rsid w:val="002E688A"/>
    <w:rsid w:val="002F0932"/>
    <w:rsid w:val="002F7DC6"/>
    <w:rsid w:val="003012FD"/>
    <w:rsid w:val="00311646"/>
    <w:rsid w:val="00313E67"/>
    <w:rsid w:val="003514C3"/>
    <w:rsid w:val="003611D4"/>
    <w:rsid w:val="00382C43"/>
    <w:rsid w:val="0038557E"/>
    <w:rsid w:val="003A64EB"/>
    <w:rsid w:val="003B26CD"/>
    <w:rsid w:val="003B43FC"/>
    <w:rsid w:val="003C1AC6"/>
    <w:rsid w:val="003D3AE7"/>
    <w:rsid w:val="003E2C0D"/>
    <w:rsid w:val="00410223"/>
    <w:rsid w:val="00414002"/>
    <w:rsid w:val="004269A3"/>
    <w:rsid w:val="004331D6"/>
    <w:rsid w:val="00466DBA"/>
    <w:rsid w:val="004871C0"/>
    <w:rsid w:val="004C2F8D"/>
    <w:rsid w:val="004D3599"/>
    <w:rsid w:val="004D6E14"/>
    <w:rsid w:val="004F5B74"/>
    <w:rsid w:val="004F60A0"/>
    <w:rsid w:val="005527BC"/>
    <w:rsid w:val="0057098D"/>
    <w:rsid w:val="005A4C9F"/>
    <w:rsid w:val="005B1DC3"/>
    <w:rsid w:val="005D1143"/>
    <w:rsid w:val="005D73DA"/>
    <w:rsid w:val="005E7F16"/>
    <w:rsid w:val="00621351"/>
    <w:rsid w:val="00636C4F"/>
    <w:rsid w:val="00650B4F"/>
    <w:rsid w:val="0066426F"/>
    <w:rsid w:val="00665BA5"/>
    <w:rsid w:val="006668A8"/>
    <w:rsid w:val="0067107A"/>
    <w:rsid w:val="006966A4"/>
    <w:rsid w:val="006B09AD"/>
    <w:rsid w:val="006C56FE"/>
    <w:rsid w:val="006D54FA"/>
    <w:rsid w:val="006E172F"/>
    <w:rsid w:val="006F0ADE"/>
    <w:rsid w:val="006F74C6"/>
    <w:rsid w:val="0070266C"/>
    <w:rsid w:val="007412E0"/>
    <w:rsid w:val="0074199D"/>
    <w:rsid w:val="00741BDB"/>
    <w:rsid w:val="007572EB"/>
    <w:rsid w:val="007A2E74"/>
    <w:rsid w:val="007A445A"/>
    <w:rsid w:val="007B1B41"/>
    <w:rsid w:val="007B3C66"/>
    <w:rsid w:val="007C252A"/>
    <w:rsid w:val="007C479E"/>
    <w:rsid w:val="00801CDB"/>
    <w:rsid w:val="00802938"/>
    <w:rsid w:val="00806386"/>
    <w:rsid w:val="00812598"/>
    <w:rsid w:val="008171C8"/>
    <w:rsid w:val="008455D6"/>
    <w:rsid w:val="008811E7"/>
    <w:rsid w:val="008878B3"/>
    <w:rsid w:val="008B13AD"/>
    <w:rsid w:val="008D635C"/>
    <w:rsid w:val="008E24DC"/>
    <w:rsid w:val="008F5444"/>
    <w:rsid w:val="009031F5"/>
    <w:rsid w:val="00934EB0"/>
    <w:rsid w:val="00947D53"/>
    <w:rsid w:val="00994EC3"/>
    <w:rsid w:val="009A4284"/>
    <w:rsid w:val="009B3819"/>
    <w:rsid w:val="009C1BC6"/>
    <w:rsid w:val="009D04AA"/>
    <w:rsid w:val="00A107FF"/>
    <w:rsid w:val="00A26309"/>
    <w:rsid w:val="00A432B2"/>
    <w:rsid w:val="00A86378"/>
    <w:rsid w:val="00A90C41"/>
    <w:rsid w:val="00A94A1C"/>
    <w:rsid w:val="00AA196C"/>
    <w:rsid w:val="00AC32FD"/>
    <w:rsid w:val="00AF1A3D"/>
    <w:rsid w:val="00AF380B"/>
    <w:rsid w:val="00B07AA8"/>
    <w:rsid w:val="00B13F9D"/>
    <w:rsid w:val="00B16B35"/>
    <w:rsid w:val="00B3141A"/>
    <w:rsid w:val="00B55A09"/>
    <w:rsid w:val="00B63056"/>
    <w:rsid w:val="00B6730E"/>
    <w:rsid w:val="00B71EBF"/>
    <w:rsid w:val="00BD35A5"/>
    <w:rsid w:val="00BE1ADE"/>
    <w:rsid w:val="00C0714F"/>
    <w:rsid w:val="00C3313A"/>
    <w:rsid w:val="00C65429"/>
    <w:rsid w:val="00C8114C"/>
    <w:rsid w:val="00C96058"/>
    <w:rsid w:val="00CA1DAD"/>
    <w:rsid w:val="00CB3A58"/>
    <w:rsid w:val="00CE4957"/>
    <w:rsid w:val="00CF5D50"/>
    <w:rsid w:val="00D02F86"/>
    <w:rsid w:val="00D129BB"/>
    <w:rsid w:val="00D16BDE"/>
    <w:rsid w:val="00D33500"/>
    <w:rsid w:val="00D33617"/>
    <w:rsid w:val="00D47123"/>
    <w:rsid w:val="00D65F62"/>
    <w:rsid w:val="00D84270"/>
    <w:rsid w:val="00D9040A"/>
    <w:rsid w:val="00DF355D"/>
    <w:rsid w:val="00DF50D7"/>
    <w:rsid w:val="00E0610D"/>
    <w:rsid w:val="00E17472"/>
    <w:rsid w:val="00E24D49"/>
    <w:rsid w:val="00E41A47"/>
    <w:rsid w:val="00E439E9"/>
    <w:rsid w:val="00E454C9"/>
    <w:rsid w:val="00E53DDB"/>
    <w:rsid w:val="00E71DA5"/>
    <w:rsid w:val="00E720DC"/>
    <w:rsid w:val="00E80760"/>
    <w:rsid w:val="00E974F9"/>
    <w:rsid w:val="00ED4210"/>
    <w:rsid w:val="00ED4873"/>
    <w:rsid w:val="00EE0776"/>
    <w:rsid w:val="00EE7AF5"/>
    <w:rsid w:val="00EF70FA"/>
    <w:rsid w:val="00F01E30"/>
    <w:rsid w:val="00F02398"/>
    <w:rsid w:val="00F07E42"/>
    <w:rsid w:val="00F30116"/>
    <w:rsid w:val="00F3699C"/>
    <w:rsid w:val="00F67BCD"/>
    <w:rsid w:val="00F707F8"/>
    <w:rsid w:val="00F7768D"/>
    <w:rsid w:val="00FB38CA"/>
    <w:rsid w:val="00FE0E47"/>
    <w:rsid w:val="00FF0725"/>
    <w:rsid w:val="00FF132F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B8674"/>
  <w15:chartTrackingRefBased/>
  <w15:docId w15:val="{D4079619-16B1-4832-B47A-FD516865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6C4F"/>
  </w:style>
  <w:style w:type="paragraph" w:styleId="Nagwek1">
    <w:name w:val="heading 1"/>
    <w:basedOn w:val="Normalny"/>
    <w:next w:val="Normalny"/>
    <w:link w:val="Nagwek1Znak"/>
    <w:uiPriority w:val="9"/>
    <w:qFormat/>
    <w:rsid w:val="00426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01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2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1E7"/>
    <w:pPr>
      <w:ind w:left="720"/>
      <w:contextualSpacing/>
    </w:pPr>
  </w:style>
  <w:style w:type="paragraph" w:customStyle="1" w:styleId="Tre0">
    <w:name w:val="Treść_0"/>
    <w:link w:val="Tre0Znak"/>
    <w:qFormat/>
    <w:rsid w:val="00AC32FD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AC32FD"/>
    <w:rPr>
      <w:rFonts w:ascii="Arial" w:eastAsia="Calibri" w:hAnsi="Arial" w:cs="Times New Roman"/>
      <w:color w:val="000000"/>
      <w:sz w:val="21"/>
      <w:szCs w:val="20"/>
    </w:rPr>
  </w:style>
  <w:style w:type="character" w:styleId="Hipercze">
    <w:name w:val="Hyperlink"/>
    <w:basedOn w:val="Domylnaczcionkaakapitu"/>
    <w:uiPriority w:val="99"/>
    <w:unhideWhenUsed/>
    <w:rsid w:val="007419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D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1D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1D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D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D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DC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30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012F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012FD"/>
    <w:rPr>
      <w:b/>
      <w:bCs/>
    </w:rPr>
  </w:style>
  <w:style w:type="character" w:styleId="Uwydatnienie">
    <w:name w:val="Emphasis"/>
    <w:basedOn w:val="Domylnaczcionkaakapitu"/>
    <w:uiPriority w:val="20"/>
    <w:qFormat/>
    <w:rsid w:val="003012F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9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6A4"/>
  </w:style>
  <w:style w:type="paragraph" w:styleId="Stopka">
    <w:name w:val="footer"/>
    <w:basedOn w:val="Normalny"/>
    <w:link w:val="StopkaZnak"/>
    <w:uiPriority w:val="99"/>
    <w:unhideWhenUsed/>
    <w:rsid w:val="0069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A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2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26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2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3B4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6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F2EFB-A354-4591-8440-F0C2632F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2143</Words>
  <Characters>12858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Wycislak</dc:creator>
  <cp:keywords/>
  <dc:description/>
  <cp:lastModifiedBy>Patrycja Kamińska</cp:lastModifiedBy>
  <cp:revision>2</cp:revision>
  <cp:lastPrinted>2026-02-16T08:56:00Z</cp:lastPrinted>
  <dcterms:created xsi:type="dcterms:W3CDTF">2026-03-24T12:52:00Z</dcterms:created>
  <dcterms:modified xsi:type="dcterms:W3CDTF">2026-03-24T12:52:00Z</dcterms:modified>
</cp:coreProperties>
</file>